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9" w:rsidRPr="00FD2999" w:rsidRDefault="00FD2999" w:rsidP="00FD2999">
      <w:pPr>
        <w:spacing w:line="288" w:lineRule="auto"/>
        <w:jc w:val="center"/>
        <w:rPr>
          <w:rFonts w:ascii="Arial" w:eastAsia="宋体" w:hAnsi="Arial" w:cs="Arial"/>
          <w:b/>
          <w:bCs/>
          <w:sz w:val="28"/>
          <w:szCs w:val="28"/>
        </w:rPr>
      </w:pPr>
      <w:r w:rsidRPr="00FD2999">
        <w:rPr>
          <w:rFonts w:ascii="Arial" w:eastAsia="宋体" w:hAnsi="Arial" w:cs="Arial" w:hint="eastAsia"/>
          <w:b/>
          <w:bCs/>
          <w:sz w:val="28"/>
          <w:szCs w:val="28"/>
        </w:rPr>
        <w:t>关于</w:t>
      </w:r>
      <w:r w:rsidRPr="00FD2999">
        <w:rPr>
          <w:rFonts w:ascii="Arial" w:eastAsia="宋体" w:hAnsi="Arial" w:cs="Arial"/>
          <w:b/>
          <w:bCs/>
          <w:sz w:val="28"/>
          <w:szCs w:val="28"/>
        </w:rPr>
        <w:t>IET</w:t>
      </w:r>
      <w:r w:rsidRPr="00FD2999">
        <w:rPr>
          <w:rFonts w:ascii="Arial" w:eastAsia="宋体" w:hAnsi="Arial" w:cs="Arial" w:hint="eastAsia"/>
          <w:b/>
          <w:bCs/>
          <w:sz w:val="28"/>
          <w:szCs w:val="28"/>
        </w:rPr>
        <w:t>期刊转</w:t>
      </w:r>
      <w:r w:rsidRPr="00FD2999">
        <w:rPr>
          <w:rFonts w:ascii="Arial" w:eastAsia="宋体" w:hAnsi="Arial" w:cs="Arial"/>
          <w:b/>
          <w:bCs/>
          <w:sz w:val="28"/>
          <w:szCs w:val="28"/>
        </w:rPr>
        <w:t>OA</w:t>
      </w:r>
      <w:r w:rsidRPr="00FD2999">
        <w:rPr>
          <w:rFonts w:ascii="Arial" w:eastAsia="宋体" w:hAnsi="Arial" w:cs="Arial" w:hint="eastAsia"/>
          <w:b/>
          <w:bCs/>
          <w:sz w:val="28"/>
          <w:szCs w:val="28"/>
        </w:rPr>
        <w:t>的说明</w:t>
      </w:r>
    </w:p>
    <w:p w:rsidR="00FD2999" w:rsidRDefault="00FD2999" w:rsidP="00FD2999">
      <w:pPr>
        <w:pStyle w:val="a3"/>
        <w:numPr>
          <w:ilvl w:val="0"/>
          <w:numId w:val="2"/>
        </w:numPr>
        <w:spacing w:line="288" w:lineRule="auto"/>
        <w:ind w:firstLineChars="0"/>
        <w:rPr>
          <w:rFonts w:ascii="Arial" w:eastAsia="宋体" w:hAnsi="Arial" w:cs="Arial"/>
          <w:bCs/>
          <w:szCs w:val="21"/>
        </w:rPr>
      </w:pPr>
      <w:r>
        <w:rPr>
          <w:rFonts w:ascii="Arial" w:eastAsia="宋体" w:hAnsi="Arial" w:cs="Arial"/>
          <w:bCs/>
          <w:szCs w:val="21"/>
        </w:rPr>
        <w:t>IET</w:t>
      </w:r>
      <w:r>
        <w:rPr>
          <w:rFonts w:ascii="Arial" w:eastAsia="宋体" w:hAnsi="Arial" w:cs="Arial" w:hint="eastAsia"/>
          <w:bCs/>
          <w:szCs w:val="21"/>
        </w:rPr>
        <w:t>出版社将其</w:t>
      </w:r>
      <w:r>
        <w:rPr>
          <w:rFonts w:ascii="Arial" w:eastAsia="宋体" w:hAnsi="Arial" w:cs="Arial"/>
          <w:bCs/>
          <w:szCs w:val="21"/>
        </w:rPr>
        <w:t>2013</w:t>
      </w:r>
      <w:r>
        <w:rPr>
          <w:rFonts w:ascii="Arial" w:eastAsia="宋体" w:hAnsi="Arial" w:cs="Arial" w:hint="eastAsia"/>
          <w:bCs/>
          <w:szCs w:val="21"/>
        </w:rPr>
        <w:t>年至今出版的所有期刊内容转为</w:t>
      </w:r>
      <w:r>
        <w:rPr>
          <w:rFonts w:ascii="Arial" w:eastAsia="宋体" w:hAnsi="Arial" w:cs="Arial"/>
          <w:bCs/>
          <w:szCs w:val="21"/>
        </w:rPr>
        <w:t>OA</w:t>
      </w:r>
      <w:r>
        <w:rPr>
          <w:rFonts w:ascii="Arial" w:eastAsia="宋体" w:hAnsi="Arial" w:cs="Arial" w:hint="eastAsia"/>
          <w:bCs/>
          <w:szCs w:val="21"/>
        </w:rPr>
        <w:t>开放获取模式，并从</w:t>
      </w:r>
      <w:r>
        <w:rPr>
          <w:rFonts w:ascii="Arial" w:eastAsia="宋体" w:hAnsi="Arial" w:cs="Arial"/>
          <w:bCs/>
          <w:szCs w:val="21"/>
        </w:rPr>
        <w:t>2021</w:t>
      </w:r>
      <w:r>
        <w:rPr>
          <w:rFonts w:ascii="Arial" w:eastAsia="宋体" w:hAnsi="Arial" w:cs="Arial" w:hint="eastAsia"/>
          <w:bCs/>
          <w:szCs w:val="21"/>
        </w:rPr>
        <w:t>年</w:t>
      </w:r>
      <w:r>
        <w:rPr>
          <w:rFonts w:ascii="Arial" w:eastAsia="宋体" w:hAnsi="Arial" w:cs="Arial"/>
          <w:bCs/>
          <w:szCs w:val="21"/>
        </w:rPr>
        <w:t>1</w:t>
      </w:r>
      <w:r>
        <w:rPr>
          <w:rFonts w:ascii="Arial" w:eastAsia="宋体" w:hAnsi="Arial" w:cs="Arial" w:hint="eastAsia"/>
          <w:bCs/>
          <w:szCs w:val="21"/>
        </w:rPr>
        <w:t>月开始通过</w:t>
      </w:r>
      <w:r>
        <w:rPr>
          <w:rFonts w:ascii="Arial" w:eastAsia="宋体" w:hAnsi="Arial" w:cs="Arial"/>
          <w:bCs/>
          <w:szCs w:val="21"/>
        </w:rPr>
        <w:t>Wiley</w:t>
      </w:r>
      <w:r>
        <w:rPr>
          <w:rFonts w:ascii="Arial" w:eastAsia="宋体" w:hAnsi="Arial" w:cs="Arial" w:hint="eastAsia"/>
          <w:bCs/>
          <w:szCs w:val="21"/>
        </w:rPr>
        <w:t>平台提供访问。</w:t>
      </w:r>
      <w:r>
        <w:rPr>
          <w:rFonts w:ascii="Arial" w:eastAsia="宋体" w:hAnsi="Arial" w:cs="Arial"/>
          <w:bCs/>
          <w:szCs w:val="21"/>
        </w:rPr>
        <w:t>IET</w:t>
      </w:r>
      <w:r>
        <w:rPr>
          <w:rFonts w:ascii="Arial" w:eastAsia="宋体" w:hAnsi="Arial" w:cs="Arial" w:hint="eastAsia"/>
          <w:bCs/>
          <w:szCs w:val="21"/>
        </w:rPr>
        <w:t>原有</w:t>
      </w:r>
      <w:r>
        <w:rPr>
          <w:rFonts w:ascii="Arial" w:eastAsia="宋体" w:hAnsi="Arial" w:cs="Arial"/>
          <w:bCs/>
          <w:szCs w:val="21"/>
        </w:rPr>
        <w:t>29</w:t>
      </w:r>
      <w:r>
        <w:rPr>
          <w:rFonts w:ascii="Arial" w:eastAsia="宋体" w:hAnsi="Arial" w:cs="Arial" w:hint="eastAsia"/>
          <w:bCs/>
          <w:szCs w:val="21"/>
        </w:rPr>
        <w:t>本期刊包含在</w:t>
      </w:r>
      <w:r>
        <w:rPr>
          <w:rFonts w:ascii="Arial" w:eastAsia="宋体" w:hAnsi="Arial" w:cs="Arial"/>
          <w:bCs/>
          <w:szCs w:val="21"/>
        </w:rPr>
        <w:t>IEL</w:t>
      </w:r>
      <w:r>
        <w:rPr>
          <w:rFonts w:ascii="Arial" w:eastAsia="宋体" w:hAnsi="Arial" w:cs="Arial" w:hint="eastAsia"/>
          <w:bCs/>
          <w:szCs w:val="21"/>
        </w:rPr>
        <w:t>数据库里，有</w:t>
      </w:r>
      <w:r>
        <w:rPr>
          <w:rFonts w:ascii="Arial" w:eastAsia="宋体" w:hAnsi="Arial" w:cs="Arial"/>
          <w:bCs/>
          <w:szCs w:val="21"/>
        </w:rPr>
        <w:t>28</w:t>
      </w:r>
      <w:r>
        <w:rPr>
          <w:rFonts w:ascii="Arial" w:eastAsia="宋体" w:hAnsi="Arial" w:cs="Arial" w:hint="eastAsia"/>
          <w:bCs/>
          <w:szCs w:val="21"/>
        </w:rPr>
        <w:t>本刊将从</w:t>
      </w:r>
      <w:r>
        <w:rPr>
          <w:rFonts w:ascii="Arial" w:eastAsia="宋体" w:hAnsi="Arial" w:cs="Arial"/>
          <w:bCs/>
          <w:szCs w:val="21"/>
        </w:rPr>
        <w:t>2021</w:t>
      </w:r>
      <w:r>
        <w:rPr>
          <w:rFonts w:ascii="Arial" w:eastAsia="宋体" w:hAnsi="Arial" w:cs="Arial" w:hint="eastAsia"/>
          <w:bCs/>
          <w:szCs w:val="21"/>
        </w:rPr>
        <w:t>年开始转为</w:t>
      </w:r>
      <w:r>
        <w:rPr>
          <w:rFonts w:ascii="Arial" w:eastAsia="宋体" w:hAnsi="Arial" w:cs="Arial"/>
          <w:bCs/>
          <w:szCs w:val="21"/>
        </w:rPr>
        <w:t>OA</w:t>
      </w:r>
      <w:r>
        <w:rPr>
          <w:rFonts w:ascii="Arial" w:eastAsia="宋体" w:hAnsi="Arial" w:cs="Arial" w:hint="eastAsia"/>
          <w:bCs/>
          <w:szCs w:val="21"/>
        </w:rPr>
        <w:t>刊，</w:t>
      </w:r>
      <w:r>
        <w:rPr>
          <w:rFonts w:ascii="Arial" w:eastAsia="宋体" w:hAnsi="Arial" w:cs="Arial"/>
          <w:bCs/>
          <w:szCs w:val="21"/>
        </w:rPr>
        <w:t>IET E&amp;T</w:t>
      </w:r>
      <w:r>
        <w:rPr>
          <w:rFonts w:ascii="Arial" w:eastAsia="宋体" w:hAnsi="Arial" w:cs="Arial" w:hint="eastAsia"/>
          <w:bCs/>
          <w:szCs w:val="21"/>
        </w:rPr>
        <w:t>（</w:t>
      </w:r>
      <w:r>
        <w:rPr>
          <w:rFonts w:ascii="Arial" w:eastAsia="宋体" w:hAnsi="Arial" w:cs="Arial"/>
          <w:bCs/>
          <w:szCs w:val="21"/>
        </w:rPr>
        <w:t>Engineering &amp; Technology</w:t>
      </w:r>
      <w:r>
        <w:rPr>
          <w:rFonts w:ascii="Arial" w:eastAsia="宋体" w:hAnsi="Arial" w:cs="Arial" w:hint="eastAsia"/>
          <w:bCs/>
          <w:szCs w:val="21"/>
        </w:rPr>
        <w:t>）这本旗舰杂志仍然保留在</w:t>
      </w:r>
      <w:r>
        <w:rPr>
          <w:rFonts w:ascii="Arial" w:eastAsia="宋体" w:hAnsi="Arial" w:cs="Arial"/>
          <w:bCs/>
          <w:szCs w:val="21"/>
        </w:rPr>
        <w:t>IEL</w:t>
      </w:r>
      <w:r>
        <w:rPr>
          <w:rFonts w:ascii="Arial" w:eastAsia="宋体" w:hAnsi="Arial" w:cs="Arial" w:hint="eastAsia"/>
          <w:bCs/>
          <w:szCs w:val="21"/>
        </w:rPr>
        <w:t>数据库中，可继续通过</w:t>
      </w:r>
      <w:r>
        <w:rPr>
          <w:rFonts w:ascii="Arial" w:eastAsia="宋体" w:hAnsi="Arial" w:cs="Arial"/>
          <w:bCs/>
          <w:szCs w:val="21"/>
        </w:rPr>
        <w:t xml:space="preserve">IEEE </w:t>
      </w:r>
      <w:proofErr w:type="spellStart"/>
      <w:r>
        <w:rPr>
          <w:rFonts w:ascii="Arial" w:eastAsia="宋体" w:hAnsi="Arial" w:cs="Arial"/>
          <w:bCs/>
          <w:szCs w:val="21"/>
        </w:rPr>
        <w:t>Xplore</w:t>
      </w:r>
      <w:proofErr w:type="spellEnd"/>
      <w:r>
        <w:rPr>
          <w:rFonts w:ascii="Arial" w:eastAsia="宋体" w:hAnsi="Arial" w:cs="Arial" w:hint="eastAsia"/>
          <w:bCs/>
          <w:szCs w:val="21"/>
        </w:rPr>
        <w:t>平台访问。</w:t>
      </w:r>
      <w:bookmarkStart w:id="0" w:name="_GoBack"/>
      <w:bookmarkEnd w:id="0"/>
    </w:p>
    <w:p w:rsidR="00FD2999" w:rsidRDefault="00FD2999" w:rsidP="00FD2999">
      <w:pPr>
        <w:pStyle w:val="a3"/>
        <w:numPr>
          <w:ilvl w:val="0"/>
          <w:numId w:val="2"/>
        </w:numPr>
        <w:spacing w:line="288" w:lineRule="auto"/>
        <w:ind w:firstLineChars="0"/>
        <w:jc w:val="left"/>
        <w:rPr>
          <w:rFonts w:ascii="Arial" w:eastAsia="宋体" w:hAnsi="Arial" w:cs="Arial"/>
          <w:bCs/>
          <w:szCs w:val="21"/>
        </w:rPr>
      </w:pPr>
      <w:r>
        <w:rPr>
          <w:rFonts w:ascii="Arial" w:eastAsia="宋体" w:hAnsi="Arial" w:cs="Arial"/>
          <w:bCs/>
          <w:szCs w:val="21"/>
        </w:rPr>
        <w:t>IET</w:t>
      </w:r>
      <w:r>
        <w:rPr>
          <w:rFonts w:ascii="Arial" w:eastAsia="宋体" w:hAnsi="Arial" w:cs="Arial" w:hint="eastAsia"/>
          <w:bCs/>
          <w:szCs w:val="21"/>
        </w:rPr>
        <w:t>会议</w:t>
      </w:r>
      <w:proofErr w:type="gramStart"/>
      <w:r>
        <w:rPr>
          <w:rFonts w:ascii="Arial" w:eastAsia="宋体" w:hAnsi="Arial" w:cs="Arial" w:hint="eastAsia"/>
          <w:bCs/>
          <w:szCs w:val="21"/>
        </w:rPr>
        <w:t>录内容</w:t>
      </w:r>
      <w:proofErr w:type="gramEnd"/>
      <w:r>
        <w:rPr>
          <w:rFonts w:ascii="Arial" w:eastAsia="宋体" w:hAnsi="Arial" w:cs="Arial" w:hint="eastAsia"/>
          <w:bCs/>
          <w:szCs w:val="21"/>
        </w:rPr>
        <w:t>可继续通过</w:t>
      </w:r>
      <w:r>
        <w:rPr>
          <w:rFonts w:ascii="Arial" w:eastAsia="宋体" w:hAnsi="Arial" w:cs="Arial"/>
          <w:bCs/>
          <w:szCs w:val="21"/>
        </w:rPr>
        <w:t xml:space="preserve">IEEE </w:t>
      </w:r>
      <w:proofErr w:type="spellStart"/>
      <w:r>
        <w:rPr>
          <w:rFonts w:ascii="Arial" w:eastAsia="宋体" w:hAnsi="Arial" w:cs="Arial"/>
          <w:bCs/>
          <w:szCs w:val="21"/>
        </w:rPr>
        <w:t>Xplore</w:t>
      </w:r>
      <w:proofErr w:type="spellEnd"/>
      <w:r>
        <w:rPr>
          <w:rFonts w:ascii="Arial" w:eastAsia="宋体" w:hAnsi="Arial" w:cs="Arial" w:hint="eastAsia"/>
          <w:bCs/>
          <w:szCs w:val="21"/>
        </w:rPr>
        <w:t>平台访问。</w:t>
      </w:r>
    </w:p>
    <w:p w:rsidR="00FD2999" w:rsidRDefault="00FD2999" w:rsidP="00FD2999">
      <w:pPr>
        <w:pStyle w:val="a3"/>
        <w:numPr>
          <w:ilvl w:val="0"/>
          <w:numId w:val="2"/>
        </w:numPr>
        <w:spacing w:line="288" w:lineRule="auto"/>
        <w:ind w:firstLineChars="0"/>
        <w:jc w:val="left"/>
        <w:rPr>
          <w:rFonts w:ascii="Arial" w:eastAsia="宋体" w:hAnsi="Arial" w:cs="Arial"/>
          <w:bCs/>
          <w:szCs w:val="21"/>
        </w:rPr>
      </w:pPr>
      <w:r>
        <w:rPr>
          <w:rFonts w:ascii="Arial" w:eastAsia="宋体" w:hAnsi="Arial" w:cs="Arial"/>
          <w:bCs/>
          <w:szCs w:val="21"/>
        </w:rPr>
        <w:t>IEL</w:t>
      </w:r>
      <w:r>
        <w:rPr>
          <w:rFonts w:ascii="Arial" w:eastAsia="宋体" w:hAnsi="Arial" w:cs="Arial" w:hint="eastAsia"/>
          <w:bCs/>
          <w:szCs w:val="21"/>
        </w:rPr>
        <w:t>数据库全称变更为：</w:t>
      </w:r>
      <w:r>
        <w:rPr>
          <w:rFonts w:ascii="Arial" w:eastAsia="宋体" w:hAnsi="Arial" w:cs="Arial"/>
          <w:bCs/>
          <w:szCs w:val="21"/>
        </w:rPr>
        <w:t>IEEE Electronic Library – IEL</w:t>
      </w:r>
      <w:r>
        <w:rPr>
          <w:rFonts w:ascii="Arial" w:eastAsia="宋体" w:hAnsi="Arial" w:cs="Arial" w:hint="eastAsia"/>
          <w:bCs/>
          <w:szCs w:val="21"/>
        </w:rPr>
        <w:t>。</w:t>
      </w:r>
      <w:r>
        <w:rPr>
          <w:rFonts w:ascii="Arial" w:eastAsia="宋体" w:hAnsi="Arial" w:cs="Arial"/>
          <w:bCs/>
          <w:szCs w:val="21"/>
        </w:rPr>
        <w:t>IEL</w:t>
      </w:r>
      <w:r>
        <w:rPr>
          <w:rFonts w:ascii="Arial" w:eastAsia="宋体" w:hAnsi="Arial" w:cs="Arial" w:hint="eastAsia"/>
          <w:bCs/>
          <w:szCs w:val="21"/>
        </w:rPr>
        <w:t>数据库除了包含</w:t>
      </w:r>
      <w:r>
        <w:rPr>
          <w:rFonts w:ascii="Arial" w:eastAsia="宋体" w:hAnsi="Arial" w:cs="Arial"/>
          <w:bCs/>
          <w:szCs w:val="21"/>
        </w:rPr>
        <w:t>IEEE</w:t>
      </w:r>
      <w:r>
        <w:rPr>
          <w:rFonts w:ascii="Arial" w:eastAsia="宋体" w:hAnsi="Arial" w:cs="Arial" w:hint="eastAsia"/>
          <w:bCs/>
          <w:szCs w:val="21"/>
        </w:rPr>
        <w:t>出版的内容，还包含其他合作出版社如</w:t>
      </w:r>
      <w:r>
        <w:rPr>
          <w:rFonts w:ascii="Arial" w:eastAsia="宋体" w:hAnsi="Arial" w:cs="Arial"/>
          <w:bCs/>
          <w:szCs w:val="21"/>
        </w:rPr>
        <w:t>IET, VDE, Bell Labs</w:t>
      </w:r>
      <w:r>
        <w:rPr>
          <w:rFonts w:ascii="Arial" w:eastAsia="宋体" w:hAnsi="Arial" w:cs="Arial" w:hint="eastAsia"/>
          <w:bCs/>
          <w:szCs w:val="21"/>
        </w:rPr>
        <w:t>的内容。</w:t>
      </w:r>
      <w:r>
        <w:rPr>
          <w:rFonts w:ascii="Arial" w:eastAsia="宋体" w:hAnsi="Arial" w:cs="Arial"/>
          <w:bCs/>
          <w:szCs w:val="21"/>
        </w:rPr>
        <w:t>IEEE</w:t>
      </w:r>
      <w:r>
        <w:rPr>
          <w:rFonts w:ascii="Arial" w:eastAsia="宋体" w:hAnsi="Arial" w:cs="Arial" w:hint="eastAsia"/>
          <w:bCs/>
          <w:szCs w:val="21"/>
        </w:rPr>
        <w:t>将继续和多家出版社保持合作，促进全球社会的技术进步。</w:t>
      </w:r>
    </w:p>
    <w:p w:rsidR="00FD2999" w:rsidRDefault="00FD2999" w:rsidP="00FD2999">
      <w:pPr>
        <w:pStyle w:val="a3"/>
        <w:numPr>
          <w:ilvl w:val="0"/>
          <w:numId w:val="2"/>
        </w:numPr>
        <w:spacing w:line="288" w:lineRule="auto"/>
        <w:ind w:firstLineChars="0"/>
        <w:jc w:val="left"/>
        <w:rPr>
          <w:rFonts w:ascii="Arial" w:eastAsia="宋体" w:hAnsi="Arial" w:cs="Arial"/>
          <w:bCs/>
          <w:szCs w:val="21"/>
        </w:rPr>
      </w:pPr>
      <w:r>
        <w:rPr>
          <w:rFonts w:ascii="Arial" w:eastAsia="宋体" w:hAnsi="Arial" w:cs="Arial"/>
          <w:bCs/>
          <w:szCs w:val="21"/>
        </w:rPr>
        <w:t>IET</w:t>
      </w:r>
      <w:r>
        <w:rPr>
          <w:rFonts w:ascii="Arial" w:eastAsia="宋体" w:hAnsi="Arial" w:cs="Arial" w:hint="eastAsia"/>
          <w:bCs/>
          <w:szCs w:val="21"/>
        </w:rPr>
        <w:t>转</w:t>
      </w:r>
      <w:r>
        <w:rPr>
          <w:rFonts w:ascii="Arial" w:eastAsia="宋体" w:hAnsi="Arial" w:cs="Arial"/>
          <w:bCs/>
          <w:szCs w:val="21"/>
        </w:rPr>
        <w:t>OA</w:t>
      </w:r>
      <w:r>
        <w:rPr>
          <w:rFonts w:ascii="Arial" w:eastAsia="宋体" w:hAnsi="Arial" w:cs="Arial" w:hint="eastAsia"/>
          <w:bCs/>
          <w:szCs w:val="21"/>
        </w:rPr>
        <w:t>的期刊列表如下：</w:t>
      </w: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500"/>
        <w:gridCol w:w="4180"/>
      </w:tblGrid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ALL Active IET Titles 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Journal of Electronics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Electronics Letters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Biometrics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Circuits, Devices &amp; Systems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Communications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Computer Vision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Computers &amp; Digital Techniques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Control Theory &amp; Applications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Electric Power Applications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Electrical Systems in Transportation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Generation, Transmission &amp; Distribution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Image Processing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Information Security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Intelligent Transport Systems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Microwaves, Antennas &amp; Propagation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IET </w:t>
            </w:r>
            <w:proofErr w:type="spellStart"/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Nanobiotechnology</w:t>
            </w:r>
            <w:proofErr w:type="spellEnd"/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IET </w:t>
            </w:r>
            <w:proofErr w:type="spellStart"/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Nanodielectrics</w:t>
            </w:r>
            <w:proofErr w:type="spellEnd"/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Networks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Optoelectronics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Power Electronics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Radar, Sonar &amp; Navigation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Renewable Power Generation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Science, Measurement &amp; Technology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Signal Processing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Software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Systems Biology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IET Wireless Sensor Systems</w:t>
            </w:r>
          </w:p>
        </w:tc>
      </w:tr>
      <w:tr w:rsidR="00FD2999" w:rsidTr="009D27E7">
        <w:trPr>
          <w:trHeight w:val="2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999" w:rsidRDefault="00FD2999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Micro &amp; Nano Letters</w:t>
            </w:r>
          </w:p>
        </w:tc>
      </w:tr>
    </w:tbl>
    <w:p w:rsidR="00A96B52" w:rsidRDefault="00A96B52"/>
    <w:sectPr w:rsidR="00A96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95A"/>
    <w:multiLevelType w:val="hybridMultilevel"/>
    <w:tmpl w:val="6E02C33E"/>
    <w:lvl w:ilvl="0" w:tplc="3E164CEA">
      <w:start w:val="1"/>
      <w:numFmt w:val="decimalEnclosedCircle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74F16"/>
    <w:multiLevelType w:val="hybridMultilevel"/>
    <w:tmpl w:val="AFB09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9"/>
    <w:rsid w:val="0001617F"/>
    <w:rsid w:val="00021D32"/>
    <w:rsid w:val="00030513"/>
    <w:rsid w:val="00035665"/>
    <w:rsid w:val="0003690F"/>
    <w:rsid w:val="00043E76"/>
    <w:rsid w:val="000B2644"/>
    <w:rsid w:val="000C2476"/>
    <w:rsid w:val="000C67F1"/>
    <w:rsid w:val="000D62AB"/>
    <w:rsid w:val="000E0083"/>
    <w:rsid w:val="000E38A1"/>
    <w:rsid w:val="000E774B"/>
    <w:rsid w:val="00116403"/>
    <w:rsid w:val="00116880"/>
    <w:rsid w:val="001359E3"/>
    <w:rsid w:val="001605A7"/>
    <w:rsid w:val="00174842"/>
    <w:rsid w:val="001B1DF2"/>
    <w:rsid w:val="001B31A4"/>
    <w:rsid w:val="001C1794"/>
    <w:rsid w:val="001D66BB"/>
    <w:rsid w:val="001D6BEF"/>
    <w:rsid w:val="001E4349"/>
    <w:rsid w:val="0020251B"/>
    <w:rsid w:val="00205740"/>
    <w:rsid w:val="00214CD1"/>
    <w:rsid w:val="002262AA"/>
    <w:rsid w:val="002276ED"/>
    <w:rsid w:val="0023142A"/>
    <w:rsid w:val="00243DBA"/>
    <w:rsid w:val="00244333"/>
    <w:rsid w:val="00271DA6"/>
    <w:rsid w:val="00273234"/>
    <w:rsid w:val="00276909"/>
    <w:rsid w:val="00277E9A"/>
    <w:rsid w:val="002949D3"/>
    <w:rsid w:val="002A1381"/>
    <w:rsid w:val="002B4DDE"/>
    <w:rsid w:val="002B7103"/>
    <w:rsid w:val="002E3B88"/>
    <w:rsid w:val="002E63AA"/>
    <w:rsid w:val="002E6902"/>
    <w:rsid w:val="002F22C2"/>
    <w:rsid w:val="002F645F"/>
    <w:rsid w:val="002F782D"/>
    <w:rsid w:val="00303294"/>
    <w:rsid w:val="00310363"/>
    <w:rsid w:val="003221CE"/>
    <w:rsid w:val="00333D6B"/>
    <w:rsid w:val="003522A9"/>
    <w:rsid w:val="00354A59"/>
    <w:rsid w:val="00360153"/>
    <w:rsid w:val="00363280"/>
    <w:rsid w:val="0038457B"/>
    <w:rsid w:val="003C4084"/>
    <w:rsid w:val="00413796"/>
    <w:rsid w:val="004336E4"/>
    <w:rsid w:val="004505DC"/>
    <w:rsid w:val="00462AA8"/>
    <w:rsid w:val="004636B5"/>
    <w:rsid w:val="0048050D"/>
    <w:rsid w:val="00485B3E"/>
    <w:rsid w:val="004B5BA1"/>
    <w:rsid w:val="004C6787"/>
    <w:rsid w:val="004D1825"/>
    <w:rsid w:val="004E5B54"/>
    <w:rsid w:val="004F00BD"/>
    <w:rsid w:val="005047E7"/>
    <w:rsid w:val="005144F5"/>
    <w:rsid w:val="00521C2B"/>
    <w:rsid w:val="00546E2F"/>
    <w:rsid w:val="005648EA"/>
    <w:rsid w:val="005847B6"/>
    <w:rsid w:val="00593FFE"/>
    <w:rsid w:val="005A6C76"/>
    <w:rsid w:val="005C4B8C"/>
    <w:rsid w:val="005D5BC7"/>
    <w:rsid w:val="005E1647"/>
    <w:rsid w:val="00600A4D"/>
    <w:rsid w:val="006044EF"/>
    <w:rsid w:val="00625836"/>
    <w:rsid w:val="00637A42"/>
    <w:rsid w:val="00650439"/>
    <w:rsid w:val="00652CF4"/>
    <w:rsid w:val="006538B6"/>
    <w:rsid w:val="0066669F"/>
    <w:rsid w:val="00682A3D"/>
    <w:rsid w:val="006873C5"/>
    <w:rsid w:val="006A3173"/>
    <w:rsid w:val="006A3D31"/>
    <w:rsid w:val="006C0D73"/>
    <w:rsid w:val="006C4055"/>
    <w:rsid w:val="006D210F"/>
    <w:rsid w:val="006D660E"/>
    <w:rsid w:val="006E6280"/>
    <w:rsid w:val="006F1276"/>
    <w:rsid w:val="006F4832"/>
    <w:rsid w:val="007107B4"/>
    <w:rsid w:val="00710EA9"/>
    <w:rsid w:val="0071167F"/>
    <w:rsid w:val="00715F4D"/>
    <w:rsid w:val="0071780D"/>
    <w:rsid w:val="0072111B"/>
    <w:rsid w:val="007312AD"/>
    <w:rsid w:val="00751EC0"/>
    <w:rsid w:val="00754CD6"/>
    <w:rsid w:val="0075584D"/>
    <w:rsid w:val="00761E15"/>
    <w:rsid w:val="00764FF2"/>
    <w:rsid w:val="0077028C"/>
    <w:rsid w:val="0077499A"/>
    <w:rsid w:val="00780BE3"/>
    <w:rsid w:val="00782072"/>
    <w:rsid w:val="00784920"/>
    <w:rsid w:val="0078630E"/>
    <w:rsid w:val="00791125"/>
    <w:rsid w:val="00793D64"/>
    <w:rsid w:val="007B27E1"/>
    <w:rsid w:val="007E02DF"/>
    <w:rsid w:val="007E2BEF"/>
    <w:rsid w:val="007E79D3"/>
    <w:rsid w:val="00810817"/>
    <w:rsid w:val="008132CD"/>
    <w:rsid w:val="00821124"/>
    <w:rsid w:val="008329B8"/>
    <w:rsid w:val="00845429"/>
    <w:rsid w:val="008502EB"/>
    <w:rsid w:val="00854911"/>
    <w:rsid w:val="00866B3F"/>
    <w:rsid w:val="00871800"/>
    <w:rsid w:val="00885753"/>
    <w:rsid w:val="00886B38"/>
    <w:rsid w:val="008A4000"/>
    <w:rsid w:val="008C0BD2"/>
    <w:rsid w:val="008C176E"/>
    <w:rsid w:val="008C7E1C"/>
    <w:rsid w:val="008E1C01"/>
    <w:rsid w:val="008F547D"/>
    <w:rsid w:val="00902982"/>
    <w:rsid w:val="00905DA4"/>
    <w:rsid w:val="00924024"/>
    <w:rsid w:val="00936236"/>
    <w:rsid w:val="009379B6"/>
    <w:rsid w:val="00942740"/>
    <w:rsid w:val="009428BD"/>
    <w:rsid w:val="00946BFB"/>
    <w:rsid w:val="00953DA0"/>
    <w:rsid w:val="009605F7"/>
    <w:rsid w:val="00961186"/>
    <w:rsid w:val="00976D5E"/>
    <w:rsid w:val="00995E6D"/>
    <w:rsid w:val="009A0E96"/>
    <w:rsid w:val="009D1544"/>
    <w:rsid w:val="009D27E7"/>
    <w:rsid w:val="009D36A0"/>
    <w:rsid w:val="009F039A"/>
    <w:rsid w:val="00A02560"/>
    <w:rsid w:val="00A15056"/>
    <w:rsid w:val="00A17C54"/>
    <w:rsid w:val="00A20034"/>
    <w:rsid w:val="00A3528D"/>
    <w:rsid w:val="00A42967"/>
    <w:rsid w:val="00A43673"/>
    <w:rsid w:val="00A51810"/>
    <w:rsid w:val="00A544B8"/>
    <w:rsid w:val="00A643CE"/>
    <w:rsid w:val="00A730C4"/>
    <w:rsid w:val="00A74563"/>
    <w:rsid w:val="00A93772"/>
    <w:rsid w:val="00A943A5"/>
    <w:rsid w:val="00A96B52"/>
    <w:rsid w:val="00AB0484"/>
    <w:rsid w:val="00AC0EC4"/>
    <w:rsid w:val="00AD0C7A"/>
    <w:rsid w:val="00AD1689"/>
    <w:rsid w:val="00AD2F76"/>
    <w:rsid w:val="00AD368E"/>
    <w:rsid w:val="00AD3A5F"/>
    <w:rsid w:val="00AF1F33"/>
    <w:rsid w:val="00AF512A"/>
    <w:rsid w:val="00AF71C7"/>
    <w:rsid w:val="00AF7D20"/>
    <w:rsid w:val="00B33330"/>
    <w:rsid w:val="00B70FF0"/>
    <w:rsid w:val="00B7383D"/>
    <w:rsid w:val="00BA50BC"/>
    <w:rsid w:val="00BC0F0B"/>
    <w:rsid w:val="00BC4E08"/>
    <w:rsid w:val="00BD39A2"/>
    <w:rsid w:val="00BD5E0F"/>
    <w:rsid w:val="00BD644E"/>
    <w:rsid w:val="00BF4FD1"/>
    <w:rsid w:val="00C034ED"/>
    <w:rsid w:val="00C41B4D"/>
    <w:rsid w:val="00C53D0C"/>
    <w:rsid w:val="00C61D64"/>
    <w:rsid w:val="00C65861"/>
    <w:rsid w:val="00C668D6"/>
    <w:rsid w:val="00C76D18"/>
    <w:rsid w:val="00C872B4"/>
    <w:rsid w:val="00CA215B"/>
    <w:rsid w:val="00CB45CD"/>
    <w:rsid w:val="00CC56B0"/>
    <w:rsid w:val="00CD39DB"/>
    <w:rsid w:val="00CD4E5D"/>
    <w:rsid w:val="00CE3EA5"/>
    <w:rsid w:val="00CE7809"/>
    <w:rsid w:val="00D1365A"/>
    <w:rsid w:val="00D14BEF"/>
    <w:rsid w:val="00D17656"/>
    <w:rsid w:val="00D20013"/>
    <w:rsid w:val="00D22074"/>
    <w:rsid w:val="00D411B6"/>
    <w:rsid w:val="00D435D1"/>
    <w:rsid w:val="00D43A98"/>
    <w:rsid w:val="00D50684"/>
    <w:rsid w:val="00D54C17"/>
    <w:rsid w:val="00D54CF0"/>
    <w:rsid w:val="00D91F50"/>
    <w:rsid w:val="00D95FE3"/>
    <w:rsid w:val="00DB12E0"/>
    <w:rsid w:val="00DE1B91"/>
    <w:rsid w:val="00E03501"/>
    <w:rsid w:val="00E40AA1"/>
    <w:rsid w:val="00E447A2"/>
    <w:rsid w:val="00E47D22"/>
    <w:rsid w:val="00E61BF4"/>
    <w:rsid w:val="00E6436D"/>
    <w:rsid w:val="00E66320"/>
    <w:rsid w:val="00E70B5A"/>
    <w:rsid w:val="00E95ECF"/>
    <w:rsid w:val="00EC1D51"/>
    <w:rsid w:val="00EC705C"/>
    <w:rsid w:val="00EC70AB"/>
    <w:rsid w:val="00ED3F2B"/>
    <w:rsid w:val="00ED78B2"/>
    <w:rsid w:val="00EF340D"/>
    <w:rsid w:val="00F22DA7"/>
    <w:rsid w:val="00F3122A"/>
    <w:rsid w:val="00F313E6"/>
    <w:rsid w:val="00F415F6"/>
    <w:rsid w:val="00F4450E"/>
    <w:rsid w:val="00F75252"/>
    <w:rsid w:val="00F75B37"/>
    <w:rsid w:val="00F85756"/>
    <w:rsid w:val="00FA4D41"/>
    <w:rsid w:val="00FB1C38"/>
    <w:rsid w:val="00FB2D2F"/>
    <w:rsid w:val="00FB7107"/>
    <w:rsid w:val="00FD1041"/>
    <w:rsid w:val="00FD11E8"/>
    <w:rsid w:val="00FD156D"/>
    <w:rsid w:val="00FD2999"/>
    <w:rsid w:val="00FD6104"/>
    <w:rsid w:val="00FD6E3D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2021-04-14T07:10:00Z</dcterms:created>
  <dcterms:modified xsi:type="dcterms:W3CDTF">2021-04-14T07:12:00Z</dcterms:modified>
</cp:coreProperties>
</file>